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35" w:rsidRDefault="00454B35" w:rsidP="001E5540">
      <w:pPr>
        <w:rPr>
          <w:rFonts w:cs="Calibri"/>
          <w:noProof/>
        </w:rPr>
      </w:pPr>
    </w:p>
    <w:p w:rsidR="00A15118" w:rsidRDefault="00A15118" w:rsidP="001E5540">
      <w:pPr>
        <w:rPr>
          <w:rFonts w:cs="Calibri"/>
          <w:noProof/>
        </w:rPr>
      </w:pPr>
    </w:p>
    <w:p w:rsidR="00A15118" w:rsidRDefault="00A15118" w:rsidP="001E5540">
      <w:pPr>
        <w:rPr>
          <w:rFonts w:ascii="Segoe UI" w:hAnsi="Segoe UI" w:cs="Segoe UI"/>
          <w:b/>
        </w:rPr>
      </w:pPr>
    </w:p>
    <w:p w:rsidR="00497C15" w:rsidRPr="00497C15" w:rsidRDefault="00A162DB" w:rsidP="00497C15">
      <w:pPr>
        <w:shd w:val="clear" w:color="auto" w:fill="FFFFFF"/>
        <w:spacing w:line="228" w:lineRule="auto"/>
        <w:ind w:firstLine="709"/>
        <w:jc w:val="center"/>
        <w:rPr>
          <w:rFonts w:ascii="Segoe UI" w:hAnsi="Segoe UI" w:cs="Segoe UI"/>
          <w:color w:val="000000"/>
          <w:spacing w:val="3"/>
          <w:sz w:val="32"/>
          <w:szCs w:val="27"/>
        </w:rPr>
      </w:pPr>
      <w:r>
        <w:rPr>
          <w:rFonts w:ascii="Segoe UI" w:hAnsi="Segoe UI" w:cs="Segoe UI"/>
          <w:color w:val="000000"/>
          <w:spacing w:val="3"/>
          <w:sz w:val="32"/>
          <w:szCs w:val="27"/>
        </w:rPr>
        <w:t>О</w:t>
      </w:r>
      <w:r w:rsidR="00497C15" w:rsidRPr="00497C15">
        <w:rPr>
          <w:rFonts w:ascii="Segoe UI" w:hAnsi="Segoe UI" w:cs="Segoe UI"/>
          <w:color w:val="000000"/>
          <w:spacing w:val="3"/>
          <w:sz w:val="32"/>
          <w:szCs w:val="27"/>
        </w:rPr>
        <w:t>бъекты вспомогательного использования</w:t>
      </w:r>
    </w:p>
    <w:p w:rsidR="00497C15" w:rsidRPr="00497C15" w:rsidRDefault="00497C15" w:rsidP="00497C15">
      <w:pPr>
        <w:shd w:val="clear" w:color="auto" w:fill="FFFFFF"/>
        <w:spacing w:line="228" w:lineRule="auto"/>
        <w:ind w:firstLine="709"/>
        <w:jc w:val="center"/>
        <w:rPr>
          <w:rFonts w:ascii="Segoe UI" w:hAnsi="Segoe UI" w:cs="Segoe UI"/>
          <w:b/>
          <w:color w:val="000000"/>
          <w:spacing w:val="3"/>
          <w:szCs w:val="27"/>
        </w:rPr>
      </w:pPr>
    </w:p>
    <w:p w:rsidR="00497C15" w:rsidRPr="00497C15" w:rsidRDefault="00497C15" w:rsidP="00497C15">
      <w:pPr>
        <w:shd w:val="clear" w:color="auto" w:fill="FFFFFF"/>
        <w:spacing w:line="228" w:lineRule="auto"/>
        <w:ind w:firstLine="709"/>
        <w:jc w:val="both"/>
        <w:rPr>
          <w:rFonts w:ascii="Segoe UI" w:hAnsi="Segoe UI" w:cs="Segoe UI"/>
          <w:color w:val="000000"/>
          <w:spacing w:val="3"/>
          <w:szCs w:val="27"/>
        </w:rPr>
      </w:pPr>
      <w:r w:rsidRPr="00497C15">
        <w:rPr>
          <w:rFonts w:ascii="Segoe UI" w:hAnsi="Segoe UI" w:cs="Segoe UI"/>
          <w:color w:val="000000"/>
          <w:spacing w:val="3"/>
          <w:szCs w:val="27"/>
        </w:rPr>
        <w:t xml:space="preserve">В Градостроительном кодексе Российской Федерации отсутствует определение понятия «объект вспомогательного использования». </w:t>
      </w:r>
    </w:p>
    <w:p w:rsidR="00497C15" w:rsidRPr="00497C15" w:rsidRDefault="00497C15" w:rsidP="00497C15">
      <w:pPr>
        <w:shd w:val="clear" w:color="auto" w:fill="FFFFFF"/>
        <w:spacing w:line="228" w:lineRule="auto"/>
        <w:ind w:firstLine="709"/>
        <w:jc w:val="both"/>
        <w:rPr>
          <w:rFonts w:ascii="Segoe UI" w:hAnsi="Segoe UI" w:cs="Segoe UI"/>
          <w:color w:val="000000"/>
          <w:spacing w:val="3"/>
          <w:szCs w:val="27"/>
        </w:rPr>
      </w:pPr>
      <w:r w:rsidRPr="00497C15">
        <w:rPr>
          <w:rFonts w:ascii="Segoe UI" w:hAnsi="Segoe UI" w:cs="Segoe UI"/>
          <w:color w:val="000000"/>
          <w:spacing w:val="3"/>
          <w:szCs w:val="27"/>
        </w:rPr>
        <w:t>Тем не менее положения действующего законодательства называют следующие критерии отнесения объектов к объектам вспомогательного использования:</w:t>
      </w:r>
    </w:p>
    <w:p w:rsidR="00497C15" w:rsidRPr="00497C15" w:rsidRDefault="00497C15" w:rsidP="00497C15">
      <w:pPr>
        <w:pStyle w:val="ad"/>
        <w:numPr>
          <w:ilvl w:val="0"/>
          <w:numId w:val="9"/>
        </w:numPr>
        <w:shd w:val="clear" w:color="auto" w:fill="FFFFFF"/>
        <w:spacing w:line="228" w:lineRule="auto"/>
        <w:ind w:left="0" w:firstLine="709"/>
        <w:jc w:val="both"/>
        <w:rPr>
          <w:rFonts w:ascii="Segoe UI" w:hAnsi="Segoe UI" w:cs="Segoe UI"/>
          <w:color w:val="000000"/>
          <w:spacing w:val="3"/>
          <w:szCs w:val="27"/>
        </w:rPr>
      </w:pPr>
      <w:r w:rsidRPr="00497C15">
        <w:rPr>
          <w:rFonts w:ascii="Segoe UI" w:hAnsi="Segoe UI" w:cs="Segoe UI"/>
          <w:color w:val="000000"/>
          <w:spacing w:val="3"/>
          <w:szCs w:val="27"/>
        </w:rPr>
        <w:t>наличие на земельном участке основного здания, строения или сооружения;</w:t>
      </w:r>
    </w:p>
    <w:p w:rsidR="00497C15" w:rsidRPr="00497C15" w:rsidRDefault="00497C15" w:rsidP="00497C15">
      <w:pPr>
        <w:pStyle w:val="ad"/>
        <w:numPr>
          <w:ilvl w:val="0"/>
          <w:numId w:val="9"/>
        </w:numPr>
        <w:shd w:val="clear" w:color="auto" w:fill="FFFFFF"/>
        <w:spacing w:line="228" w:lineRule="auto"/>
        <w:ind w:left="0" w:firstLine="709"/>
        <w:jc w:val="both"/>
        <w:rPr>
          <w:rFonts w:ascii="Segoe UI" w:hAnsi="Segoe UI" w:cs="Segoe UI"/>
          <w:color w:val="000000"/>
          <w:spacing w:val="3"/>
          <w:szCs w:val="27"/>
        </w:rPr>
      </w:pPr>
      <w:r w:rsidRPr="00497C15">
        <w:rPr>
          <w:rFonts w:ascii="Segoe UI" w:hAnsi="Segoe UI" w:cs="Segoe UI"/>
          <w:color w:val="000000"/>
          <w:spacing w:val="3"/>
          <w:szCs w:val="27"/>
        </w:rPr>
        <w:t>возведен на одном земельном участке с основным объектом;</w:t>
      </w:r>
    </w:p>
    <w:p w:rsidR="00497C15" w:rsidRPr="00497C15" w:rsidRDefault="00497C15" w:rsidP="00497C15">
      <w:pPr>
        <w:pStyle w:val="ad"/>
        <w:numPr>
          <w:ilvl w:val="0"/>
          <w:numId w:val="9"/>
        </w:numPr>
        <w:shd w:val="clear" w:color="auto" w:fill="FFFFFF"/>
        <w:spacing w:line="228" w:lineRule="auto"/>
        <w:ind w:left="0" w:firstLine="709"/>
        <w:jc w:val="both"/>
        <w:rPr>
          <w:rFonts w:ascii="Segoe UI" w:hAnsi="Segoe UI" w:cs="Segoe UI"/>
          <w:color w:val="000000"/>
          <w:spacing w:val="3"/>
          <w:szCs w:val="27"/>
        </w:rPr>
      </w:pPr>
      <w:r w:rsidRPr="00497C15">
        <w:rPr>
          <w:rFonts w:ascii="Segoe UI" w:hAnsi="Segoe UI" w:cs="Segoe UI"/>
          <w:color w:val="000000"/>
          <w:spacing w:val="3"/>
          <w:szCs w:val="27"/>
        </w:rPr>
        <w:t>предназначен для обслуживания и эксплуатации основного объекта;</w:t>
      </w:r>
    </w:p>
    <w:p w:rsidR="00497C15" w:rsidRPr="00497C15" w:rsidRDefault="00497C15" w:rsidP="00497C15">
      <w:pPr>
        <w:pStyle w:val="ad"/>
        <w:numPr>
          <w:ilvl w:val="0"/>
          <w:numId w:val="9"/>
        </w:numPr>
        <w:shd w:val="clear" w:color="auto" w:fill="FFFFFF"/>
        <w:spacing w:line="228" w:lineRule="auto"/>
        <w:ind w:left="0" w:firstLine="709"/>
        <w:jc w:val="both"/>
        <w:rPr>
          <w:rFonts w:ascii="Segoe UI" w:hAnsi="Segoe UI" w:cs="Segoe UI"/>
          <w:color w:val="000000"/>
          <w:spacing w:val="3"/>
          <w:szCs w:val="27"/>
        </w:rPr>
      </w:pPr>
      <w:r w:rsidRPr="00497C15">
        <w:rPr>
          <w:rFonts w:ascii="Segoe UI" w:hAnsi="Segoe UI" w:cs="Segoe UI"/>
          <w:color w:val="000000"/>
          <w:spacing w:val="3"/>
          <w:szCs w:val="27"/>
        </w:rPr>
        <w:t>не имеет самостоятельного хозяйственного назначения и не может использоваться для иной деятельности;</w:t>
      </w:r>
    </w:p>
    <w:p w:rsidR="00497C15" w:rsidRPr="00497C15" w:rsidRDefault="00497C15" w:rsidP="00497C15">
      <w:pPr>
        <w:pStyle w:val="ad"/>
        <w:numPr>
          <w:ilvl w:val="0"/>
          <w:numId w:val="9"/>
        </w:numPr>
        <w:shd w:val="clear" w:color="auto" w:fill="FFFFFF"/>
        <w:spacing w:line="228" w:lineRule="auto"/>
        <w:ind w:left="0" w:firstLine="709"/>
        <w:jc w:val="both"/>
        <w:rPr>
          <w:rFonts w:ascii="Segoe UI" w:hAnsi="Segoe UI" w:cs="Segoe UI"/>
          <w:color w:val="000000"/>
          <w:spacing w:val="3"/>
          <w:szCs w:val="27"/>
        </w:rPr>
      </w:pPr>
      <w:r w:rsidRPr="00497C15">
        <w:rPr>
          <w:rFonts w:ascii="Segoe UI" w:hAnsi="Segoe UI" w:cs="Segoe UI"/>
          <w:color w:val="000000"/>
          <w:spacing w:val="3"/>
          <w:szCs w:val="27"/>
        </w:rPr>
        <w:t>не должен иметь одинаковую функцию с основным (главным) объектом;</w:t>
      </w:r>
    </w:p>
    <w:p w:rsidR="00497C15" w:rsidRPr="00497C15" w:rsidRDefault="00497C15" w:rsidP="00497C15">
      <w:pPr>
        <w:pStyle w:val="ad"/>
        <w:numPr>
          <w:ilvl w:val="0"/>
          <w:numId w:val="9"/>
        </w:numPr>
        <w:shd w:val="clear" w:color="auto" w:fill="FFFFFF"/>
        <w:spacing w:line="228" w:lineRule="auto"/>
        <w:ind w:left="0" w:firstLine="709"/>
        <w:jc w:val="both"/>
        <w:rPr>
          <w:rFonts w:ascii="Segoe UI" w:hAnsi="Segoe UI" w:cs="Segoe UI"/>
          <w:color w:val="000000"/>
          <w:spacing w:val="3"/>
          <w:szCs w:val="27"/>
        </w:rPr>
      </w:pPr>
      <w:r w:rsidRPr="00497C15">
        <w:rPr>
          <w:rFonts w:ascii="Segoe UI" w:hAnsi="Segoe UI" w:cs="Segoe UI"/>
          <w:color w:val="000000"/>
          <w:spacing w:val="3"/>
          <w:szCs w:val="27"/>
        </w:rPr>
        <w:t>размещение может (должно) предусматриваться проектной документацией, в которой указываются сроки и последовательность возведения основных и вспомогательных объектов.</w:t>
      </w:r>
    </w:p>
    <w:p w:rsidR="00497C15" w:rsidRPr="00497C15" w:rsidRDefault="00497C15" w:rsidP="00497C15">
      <w:pPr>
        <w:pStyle w:val="ad"/>
        <w:shd w:val="clear" w:color="auto" w:fill="FFFFFF"/>
        <w:spacing w:line="228" w:lineRule="auto"/>
        <w:ind w:left="0" w:firstLine="709"/>
        <w:jc w:val="both"/>
        <w:rPr>
          <w:rFonts w:ascii="Segoe UI" w:hAnsi="Segoe UI" w:cs="Segoe UI"/>
          <w:color w:val="000000"/>
          <w:spacing w:val="3"/>
          <w:szCs w:val="27"/>
        </w:rPr>
      </w:pPr>
      <w:r w:rsidRPr="00497C15">
        <w:rPr>
          <w:rFonts w:ascii="Segoe UI" w:hAnsi="Segoe UI" w:cs="Segoe UI"/>
          <w:color w:val="000000"/>
          <w:spacing w:val="3"/>
          <w:szCs w:val="27"/>
        </w:rPr>
        <w:t xml:space="preserve">Объекты вспомогательного использования могут являться или не являться объектами недвижимости. Вопрос отнесения конкретного имущества к недвижимому должен разрешаться на стадии его создания. </w:t>
      </w:r>
    </w:p>
    <w:p w:rsidR="00497C15" w:rsidRPr="00497C15" w:rsidRDefault="00497C15" w:rsidP="00497C15">
      <w:pPr>
        <w:pStyle w:val="ad"/>
        <w:shd w:val="clear" w:color="auto" w:fill="FFFFFF"/>
        <w:spacing w:line="228" w:lineRule="auto"/>
        <w:ind w:left="0" w:firstLine="709"/>
        <w:jc w:val="both"/>
        <w:rPr>
          <w:rFonts w:ascii="Segoe UI" w:hAnsi="Segoe UI" w:cs="Segoe UI"/>
          <w:color w:val="000000"/>
          <w:spacing w:val="3"/>
          <w:szCs w:val="27"/>
        </w:rPr>
      </w:pPr>
      <w:r w:rsidRPr="00497C15">
        <w:rPr>
          <w:rFonts w:ascii="Segoe UI" w:hAnsi="Segoe UI" w:cs="Segoe UI"/>
          <w:color w:val="000000"/>
          <w:spacing w:val="3"/>
          <w:szCs w:val="27"/>
        </w:rPr>
        <w:t xml:space="preserve">Кадастровый инженер обязан отказаться от заключения договора подряда на выполнение кадастровых работ в случае, если созданный объект не является объектом недвижимости. </w:t>
      </w:r>
    </w:p>
    <w:p w:rsidR="00497C15" w:rsidRPr="00497C15" w:rsidRDefault="00497C15" w:rsidP="00497C15">
      <w:pPr>
        <w:pStyle w:val="ad"/>
        <w:shd w:val="clear" w:color="auto" w:fill="FFFFFF"/>
        <w:spacing w:line="228" w:lineRule="auto"/>
        <w:ind w:left="0" w:firstLine="709"/>
        <w:jc w:val="both"/>
        <w:rPr>
          <w:rFonts w:ascii="Segoe UI" w:hAnsi="Segoe UI" w:cs="Segoe UI"/>
          <w:color w:val="000000"/>
          <w:spacing w:val="3"/>
          <w:szCs w:val="27"/>
        </w:rPr>
      </w:pPr>
      <w:r w:rsidRPr="00497C15">
        <w:rPr>
          <w:rFonts w:ascii="Segoe UI" w:hAnsi="Segoe UI" w:cs="Segoe UI"/>
          <w:color w:val="000000"/>
          <w:spacing w:val="3"/>
          <w:szCs w:val="27"/>
        </w:rPr>
        <w:t xml:space="preserve">За внесение кадастровым инженером заведомо ложных сведений в технический план предусмотрена ответственность.   </w:t>
      </w:r>
    </w:p>
    <w:p w:rsidR="00497C15" w:rsidRPr="00497C15" w:rsidRDefault="00497C15" w:rsidP="00497C15">
      <w:pPr>
        <w:pStyle w:val="ad"/>
        <w:shd w:val="clear" w:color="auto" w:fill="FFFFFF"/>
        <w:spacing w:line="228" w:lineRule="auto"/>
        <w:ind w:left="0" w:firstLine="709"/>
        <w:jc w:val="both"/>
        <w:rPr>
          <w:rFonts w:ascii="Segoe UI" w:hAnsi="Segoe UI" w:cs="Segoe UI"/>
          <w:color w:val="000000"/>
          <w:spacing w:val="3"/>
          <w:szCs w:val="27"/>
        </w:rPr>
      </w:pPr>
      <w:r w:rsidRPr="00497C15">
        <w:rPr>
          <w:rFonts w:ascii="Segoe UI" w:hAnsi="Segoe UI" w:cs="Segoe UI"/>
          <w:color w:val="000000"/>
          <w:spacing w:val="3"/>
          <w:szCs w:val="27"/>
        </w:rPr>
        <w:t>Управление Росреестра по Новосибирской области обращает внимание, что возведение объектов вспомогательного использования должно осуществляться с учетом требований о целевом назначении земельного участка, требований градостроительных регламентов, иных норм и правил, установленных действующим законодательством.</w:t>
      </w:r>
    </w:p>
    <w:p w:rsidR="00497C15" w:rsidRDefault="00497C15" w:rsidP="00497C15">
      <w:pPr>
        <w:pStyle w:val="ad"/>
        <w:shd w:val="clear" w:color="auto" w:fill="FFFFFF"/>
        <w:spacing w:line="228" w:lineRule="auto"/>
        <w:ind w:left="0" w:firstLine="709"/>
        <w:jc w:val="both"/>
        <w:rPr>
          <w:rFonts w:ascii="Segoe UI" w:hAnsi="Segoe UI" w:cs="Segoe UI"/>
          <w:color w:val="000000"/>
          <w:spacing w:val="3"/>
          <w:szCs w:val="27"/>
        </w:rPr>
      </w:pPr>
      <w:r w:rsidRPr="00497C15">
        <w:rPr>
          <w:rFonts w:ascii="Segoe UI" w:hAnsi="Segoe UI" w:cs="Segoe UI"/>
          <w:color w:val="000000"/>
          <w:spacing w:val="3"/>
          <w:szCs w:val="27"/>
        </w:rPr>
        <w:t>Правообладатели садовых и приусадебных земельных участков, а также земельных участков, предназначенных для индивидуального жилищного строительства вправе самостоятельно определить очередность возведения основных (жилой или садовый дом) и вспомогательных  зданий и сооружений (сараи, бани, погреба, колодцы и другие).</w:t>
      </w:r>
    </w:p>
    <w:p w:rsidR="00756C1F" w:rsidRPr="00497C15" w:rsidRDefault="00756C1F" w:rsidP="00497C15">
      <w:pPr>
        <w:pStyle w:val="ad"/>
        <w:shd w:val="clear" w:color="auto" w:fill="FFFFFF"/>
        <w:spacing w:line="228" w:lineRule="auto"/>
        <w:ind w:left="0" w:firstLine="709"/>
        <w:jc w:val="both"/>
        <w:rPr>
          <w:rFonts w:ascii="Segoe UI" w:hAnsi="Segoe UI" w:cs="Segoe UI"/>
          <w:color w:val="000000"/>
          <w:spacing w:val="3"/>
          <w:szCs w:val="27"/>
        </w:rPr>
      </w:pPr>
    </w:p>
    <w:p w:rsidR="00756C1F" w:rsidRPr="00AD5E0E" w:rsidRDefault="00756C1F" w:rsidP="00756C1F">
      <w:pPr>
        <w:jc w:val="right"/>
        <w:rPr>
          <w:sz w:val="26"/>
          <w:szCs w:val="26"/>
        </w:rPr>
      </w:pPr>
      <w:r w:rsidRPr="00AD5E0E">
        <w:rPr>
          <w:sz w:val="26"/>
          <w:szCs w:val="26"/>
        </w:rPr>
        <w:t xml:space="preserve">Межмуниципальный Куйбышевский отдел </w:t>
      </w:r>
    </w:p>
    <w:p w:rsidR="00756C1F" w:rsidRPr="00AD5E0E" w:rsidRDefault="00756C1F" w:rsidP="00756C1F">
      <w:pPr>
        <w:jc w:val="right"/>
        <w:rPr>
          <w:sz w:val="26"/>
          <w:szCs w:val="26"/>
        </w:rPr>
      </w:pPr>
      <w:r w:rsidRPr="00AD5E0E">
        <w:rPr>
          <w:sz w:val="26"/>
          <w:szCs w:val="26"/>
        </w:rPr>
        <w:t>Управления Росреестра по Новосибирской области</w:t>
      </w:r>
    </w:p>
    <w:p w:rsidR="00111808" w:rsidRDefault="00111808" w:rsidP="0011180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sectPr w:rsidR="00111808" w:rsidSect="0050355F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2F0" w:rsidRDefault="008232F0">
      <w:r>
        <w:separator/>
      </w:r>
    </w:p>
  </w:endnote>
  <w:endnote w:type="continuationSeparator" w:id="0">
    <w:p w:rsidR="008232F0" w:rsidRDefault="00823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2F0" w:rsidRDefault="008232F0">
      <w:r>
        <w:separator/>
      </w:r>
    </w:p>
  </w:footnote>
  <w:footnote w:type="continuationSeparator" w:id="0">
    <w:p w:rsidR="008232F0" w:rsidRDefault="008232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53F" w:rsidRDefault="003955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62DB">
      <w:rPr>
        <w:rStyle w:val="a8"/>
        <w:noProof/>
      </w:rPr>
      <w:t>2</w:t>
    </w:r>
    <w:r>
      <w:rPr>
        <w:rStyle w:val="a8"/>
      </w:rPr>
      <w:fldChar w:fldCharType="end"/>
    </w:r>
  </w:p>
  <w:p w:rsidR="0039553F" w:rsidRDefault="0039553F">
    <w:pPr>
      <w:pStyle w:val="a7"/>
    </w:pPr>
  </w:p>
  <w:p w:rsidR="001A65F3" w:rsidRDefault="001A65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numPicBullet w:numPicBulletId="3">
    <w:pict>
      <v:shape id="_x0000_i1047" type="#_x0000_t75" style="width:3in;height:3in" o:bullet="t"/>
    </w:pict>
  </w:numPicBullet>
  <w:numPicBullet w:numPicBulletId="4">
    <w:pict>
      <v:shape id="_x0000_i1048" type="#_x0000_t75" style="width:3in;height:3in" o:bullet="t"/>
    </w:pict>
  </w:numPicBullet>
  <w:numPicBullet w:numPicBulletId="5">
    <w:pict>
      <v:shape id="_x0000_i1049" type="#_x0000_t75" style="width:3in;height:3in" o:bullet="t"/>
    </w:pict>
  </w:numPicBullet>
  <w:abstractNum w:abstractNumId="0">
    <w:nsid w:val="16AB4082"/>
    <w:multiLevelType w:val="multilevel"/>
    <w:tmpl w:val="0EA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1080A"/>
    <w:multiLevelType w:val="hybridMultilevel"/>
    <w:tmpl w:val="D2C2FCFE"/>
    <w:lvl w:ilvl="0" w:tplc="1A8245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A37CE8"/>
    <w:multiLevelType w:val="multilevel"/>
    <w:tmpl w:val="CDEC64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6E12CE9"/>
    <w:multiLevelType w:val="hybridMultilevel"/>
    <w:tmpl w:val="A6DC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3B281A"/>
    <w:multiLevelType w:val="multilevel"/>
    <w:tmpl w:val="368E60B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9386D"/>
    <w:multiLevelType w:val="multilevel"/>
    <w:tmpl w:val="B5B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4F32B1"/>
    <w:multiLevelType w:val="hybridMultilevel"/>
    <w:tmpl w:val="CDEC648A"/>
    <w:lvl w:ilvl="0" w:tplc="21EEE974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B872F9D"/>
    <w:multiLevelType w:val="multilevel"/>
    <w:tmpl w:val="A350C9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A40"/>
    <w:rsid w:val="0000063A"/>
    <w:rsid w:val="0001042E"/>
    <w:rsid w:val="00013A75"/>
    <w:rsid w:val="000426C8"/>
    <w:rsid w:val="00046024"/>
    <w:rsid w:val="000525FE"/>
    <w:rsid w:val="00053153"/>
    <w:rsid w:val="00064266"/>
    <w:rsid w:val="00073CAE"/>
    <w:rsid w:val="00087D1C"/>
    <w:rsid w:val="000A2A7D"/>
    <w:rsid w:val="000B25C4"/>
    <w:rsid w:val="000C263A"/>
    <w:rsid w:val="000E5CF2"/>
    <w:rsid w:val="000F2CCC"/>
    <w:rsid w:val="000F6C49"/>
    <w:rsid w:val="00100884"/>
    <w:rsid w:val="00111808"/>
    <w:rsid w:val="00126828"/>
    <w:rsid w:val="00126A07"/>
    <w:rsid w:val="00131804"/>
    <w:rsid w:val="00144ED7"/>
    <w:rsid w:val="0015648C"/>
    <w:rsid w:val="00164A96"/>
    <w:rsid w:val="00175210"/>
    <w:rsid w:val="0017771F"/>
    <w:rsid w:val="0018256F"/>
    <w:rsid w:val="00183E6C"/>
    <w:rsid w:val="00197A86"/>
    <w:rsid w:val="00197DCC"/>
    <w:rsid w:val="001A65F3"/>
    <w:rsid w:val="001B4525"/>
    <w:rsid w:val="001C2797"/>
    <w:rsid w:val="001C5A80"/>
    <w:rsid w:val="001D31DD"/>
    <w:rsid w:val="001D78B2"/>
    <w:rsid w:val="001E5540"/>
    <w:rsid w:val="001F2191"/>
    <w:rsid w:val="002015CE"/>
    <w:rsid w:val="00201EA2"/>
    <w:rsid w:val="0020556C"/>
    <w:rsid w:val="00207E78"/>
    <w:rsid w:val="00213606"/>
    <w:rsid w:val="00217F2E"/>
    <w:rsid w:val="00221064"/>
    <w:rsid w:val="0024334A"/>
    <w:rsid w:val="00266BA7"/>
    <w:rsid w:val="00293A45"/>
    <w:rsid w:val="002D505D"/>
    <w:rsid w:val="002D6A33"/>
    <w:rsid w:val="002F07BA"/>
    <w:rsid w:val="002F1E68"/>
    <w:rsid w:val="002F2999"/>
    <w:rsid w:val="00311A06"/>
    <w:rsid w:val="0031507E"/>
    <w:rsid w:val="00320E0D"/>
    <w:rsid w:val="00326B20"/>
    <w:rsid w:val="00327D14"/>
    <w:rsid w:val="00327E61"/>
    <w:rsid w:val="00330B52"/>
    <w:rsid w:val="003464F1"/>
    <w:rsid w:val="0034772D"/>
    <w:rsid w:val="003572B8"/>
    <w:rsid w:val="00362B5A"/>
    <w:rsid w:val="003702CC"/>
    <w:rsid w:val="00371ADA"/>
    <w:rsid w:val="003725F6"/>
    <w:rsid w:val="0039238D"/>
    <w:rsid w:val="0039480A"/>
    <w:rsid w:val="0039553F"/>
    <w:rsid w:val="003A0D90"/>
    <w:rsid w:val="003A287D"/>
    <w:rsid w:val="003A48F5"/>
    <w:rsid w:val="003B235A"/>
    <w:rsid w:val="003C1813"/>
    <w:rsid w:val="003D62DF"/>
    <w:rsid w:val="003D7F14"/>
    <w:rsid w:val="00400C35"/>
    <w:rsid w:val="00441B38"/>
    <w:rsid w:val="00454B35"/>
    <w:rsid w:val="00460E6D"/>
    <w:rsid w:val="00472C15"/>
    <w:rsid w:val="00497C15"/>
    <w:rsid w:val="004A551F"/>
    <w:rsid w:val="004B34EB"/>
    <w:rsid w:val="004C7131"/>
    <w:rsid w:val="004E1BE0"/>
    <w:rsid w:val="004E42A0"/>
    <w:rsid w:val="004E7AF6"/>
    <w:rsid w:val="004F0710"/>
    <w:rsid w:val="004F50F4"/>
    <w:rsid w:val="0050355F"/>
    <w:rsid w:val="00506044"/>
    <w:rsid w:val="0053131D"/>
    <w:rsid w:val="00551401"/>
    <w:rsid w:val="005544EE"/>
    <w:rsid w:val="0055667C"/>
    <w:rsid w:val="005744EF"/>
    <w:rsid w:val="005A45D7"/>
    <w:rsid w:val="005A5E4E"/>
    <w:rsid w:val="005B11C3"/>
    <w:rsid w:val="005C167E"/>
    <w:rsid w:val="005E2643"/>
    <w:rsid w:val="0060637C"/>
    <w:rsid w:val="00610260"/>
    <w:rsid w:val="00620C7A"/>
    <w:rsid w:val="00624273"/>
    <w:rsid w:val="0063740C"/>
    <w:rsid w:val="006466A4"/>
    <w:rsid w:val="00647B9B"/>
    <w:rsid w:val="00652AE6"/>
    <w:rsid w:val="00667F7E"/>
    <w:rsid w:val="0069013B"/>
    <w:rsid w:val="006979B2"/>
    <w:rsid w:val="006A0BE4"/>
    <w:rsid w:val="006A3882"/>
    <w:rsid w:val="006B2F01"/>
    <w:rsid w:val="006C060E"/>
    <w:rsid w:val="006D1350"/>
    <w:rsid w:val="006D2B97"/>
    <w:rsid w:val="006E189C"/>
    <w:rsid w:val="006E1C87"/>
    <w:rsid w:val="006E37FE"/>
    <w:rsid w:val="00702DBC"/>
    <w:rsid w:val="00707792"/>
    <w:rsid w:val="00714E3E"/>
    <w:rsid w:val="007215AF"/>
    <w:rsid w:val="0073519A"/>
    <w:rsid w:val="007549A4"/>
    <w:rsid w:val="00756C1F"/>
    <w:rsid w:val="00761CE4"/>
    <w:rsid w:val="00762EB2"/>
    <w:rsid w:val="0076307C"/>
    <w:rsid w:val="00767493"/>
    <w:rsid w:val="007731FC"/>
    <w:rsid w:val="0078228F"/>
    <w:rsid w:val="00793F5E"/>
    <w:rsid w:val="007A200A"/>
    <w:rsid w:val="007A7EFE"/>
    <w:rsid w:val="007C10D6"/>
    <w:rsid w:val="007D57EE"/>
    <w:rsid w:val="007D6326"/>
    <w:rsid w:val="007D6FE4"/>
    <w:rsid w:val="007F151D"/>
    <w:rsid w:val="008009C8"/>
    <w:rsid w:val="00811470"/>
    <w:rsid w:val="00813E6F"/>
    <w:rsid w:val="00815B0C"/>
    <w:rsid w:val="0082180A"/>
    <w:rsid w:val="008232F0"/>
    <w:rsid w:val="00831E17"/>
    <w:rsid w:val="00855CF1"/>
    <w:rsid w:val="0086253E"/>
    <w:rsid w:val="00862D64"/>
    <w:rsid w:val="008B1C7C"/>
    <w:rsid w:val="008B249D"/>
    <w:rsid w:val="008C2917"/>
    <w:rsid w:val="008D1658"/>
    <w:rsid w:val="008E7C6E"/>
    <w:rsid w:val="008F4CF8"/>
    <w:rsid w:val="008F5BA2"/>
    <w:rsid w:val="00902504"/>
    <w:rsid w:val="00911AF0"/>
    <w:rsid w:val="00960D86"/>
    <w:rsid w:val="00981AF8"/>
    <w:rsid w:val="009876E6"/>
    <w:rsid w:val="009942BE"/>
    <w:rsid w:val="00995EAC"/>
    <w:rsid w:val="00997F58"/>
    <w:rsid w:val="009A240C"/>
    <w:rsid w:val="009A6810"/>
    <w:rsid w:val="009D3F63"/>
    <w:rsid w:val="009D69B2"/>
    <w:rsid w:val="009E71A9"/>
    <w:rsid w:val="009E76A5"/>
    <w:rsid w:val="009F0706"/>
    <w:rsid w:val="009F7E85"/>
    <w:rsid w:val="00A01D62"/>
    <w:rsid w:val="00A126E6"/>
    <w:rsid w:val="00A15118"/>
    <w:rsid w:val="00A15244"/>
    <w:rsid w:val="00A157B4"/>
    <w:rsid w:val="00A162DB"/>
    <w:rsid w:val="00A3160D"/>
    <w:rsid w:val="00A47867"/>
    <w:rsid w:val="00A5483A"/>
    <w:rsid w:val="00A57876"/>
    <w:rsid w:val="00A57D11"/>
    <w:rsid w:val="00A751FF"/>
    <w:rsid w:val="00A77DAA"/>
    <w:rsid w:val="00A82E1D"/>
    <w:rsid w:val="00A962A0"/>
    <w:rsid w:val="00AB60DD"/>
    <w:rsid w:val="00AC141B"/>
    <w:rsid w:val="00AF602F"/>
    <w:rsid w:val="00B35206"/>
    <w:rsid w:val="00B42159"/>
    <w:rsid w:val="00B5068A"/>
    <w:rsid w:val="00B56416"/>
    <w:rsid w:val="00B64340"/>
    <w:rsid w:val="00B65FC5"/>
    <w:rsid w:val="00B665B4"/>
    <w:rsid w:val="00B750FB"/>
    <w:rsid w:val="00B752EB"/>
    <w:rsid w:val="00B75B12"/>
    <w:rsid w:val="00B77C9A"/>
    <w:rsid w:val="00B82BC5"/>
    <w:rsid w:val="00B86E52"/>
    <w:rsid w:val="00B95C86"/>
    <w:rsid w:val="00BB56F9"/>
    <w:rsid w:val="00BC27B2"/>
    <w:rsid w:val="00BD6651"/>
    <w:rsid w:val="00BF7168"/>
    <w:rsid w:val="00C03660"/>
    <w:rsid w:val="00C16A40"/>
    <w:rsid w:val="00C33CFE"/>
    <w:rsid w:val="00C466DB"/>
    <w:rsid w:val="00C50AF9"/>
    <w:rsid w:val="00C540DD"/>
    <w:rsid w:val="00C70F8D"/>
    <w:rsid w:val="00C80062"/>
    <w:rsid w:val="00C9544C"/>
    <w:rsid w:val="00C97311"/>
    <w:rsid w:val="00CA1435"/>
    <w:rsid w:val="00CA387F"/>
    <w:rsid w:val="00CC41F5"/>
    <w:rsid w:val="00CE0CBD"/>
    <w:rsid w:val="00CE5E77"/>
    <w:rsid w:val="00CE68CC"/>
    <w:rsid w:val="00CF616D"/>
    <w:rsid w:val="00D03F53"/>
    <w:rsid w:val="00D24277"/>
    <w:rsid w:val="00D41A97"/>
    <w:rsid w:val="00D651B8"/>
    <w:rsid w:val="00D81C7B"/>
    <w:rsid w:val="00D93D2D"/>
    <w:rsid w:val="00D94394"/>
    <w:rsid w:val="00DA5BA7"/>
    <w:rsid w:val="00DA6F7C"/>
    <w:rsid w:val="00DB1EE1"/>
    <w:rsid w:val="00DB6635"/>
    <w:rsid w:val="00DC097E"/>
    <w:rsid w:val="00DE6AF6"/>
    <w:rsid w:val="00DE74F3"/>
    <w:rsid w:val="00DF5533"/>
    <w:rsid w:val="00E04301"/>
    <w:rsid w:val="00E06188"/>
    <w:rsid w:val="00E1520D"/>
    <w:rsid w:val="00E30B68"/>
    <w:rsid w:val="00E36804"/>
    <w:rsid w:val="00E5298B"/>
    <w:rsid w:val="00E54D9C"/>
    <w:rsid w:val="00E62113"/>
    <w:rsid w:val="00E62755"/>
    <w:rsid w:val="00E8411A"/>
    <w:rsid w:val="00E877D9"/>
    <w:rsid w:val="00E908AF"/>
    <w:rsid w:val="00E94212"/>
    <w:rsid w:val="00EA50A0"/>
    <w:rsid w:val="00EB0DC4"/>
    <w:rsid w:val="00ED69D1"/>
    <w:rsid w:val="00EE18A7"/>
    <w:rsid w:val="00EE1B38"/>
    <w:rsid w:val="00EE27F2"/>
    <w:rsid w:val="00EE629F"/>
    <w:rsid w:val="00EF0440"/>
    <w:rsid w:val="00F10A72"/>
    <w:rsid w:val="00F11822"/>
    <w:rsid w:val="00F2187D"/>
    <w:rsid w:val="00F27991"/>
    <w:rsid w:val="00F35F55"/>
    <w:rsid w:val="00F56094"/>
    <w:rsid w:val="00F81D09"/>
    <w:rsid w:val="00F85737"/>
    <w:rsid w:val="00F86BBC"/>
    <w:rsid w:val="00F9299B"/>
    <w:rsid w:val="00F97A59"/>
    <w:rsid w:val="00FA242B"/>
    <w:rsid w:val="00FA2A77"/>
    <w:rsid w:val="00FA781A"/>
    <w:rsid w:val="00FA7D41"/>
    <w:rsid w:val="00FC5732"/>
    <w:rsid w:val="00FC6872"/>
    <w:rsid w:val="00FC71CB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F86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18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C16A40"/>
    <w:rPr>
      <w:b/>
      <w:bCs/>
    </w:rPr>
  </w:style>
  <w:style w:type="table" w:styleId="a4">
    <w:name w:val="Table Grid"/>
    <w:basedOn w:val="a1"/>
    <w:rsid w:val="0010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B34EB"/>
    <w:rPr>
      <w:color w:val="0000FF"/>
      <w:u w:val="single"/>
    </w:rPr>
  </w:style>
  <w:style w:type="paragraph" w:customStyle="1" w:styleId="ConsPlusNormal">
    <w:name w:val="ConsPlusNormal"/>
    <w:rsid w:val="005744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86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 Знак1"/>
    <w:basedOn w:val="a"/>
    <w:next w:val="2"/>
    <w:autoRedefine/>
    <w:rsid w:val="00F86BBC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HTML">
    <w:name w:val="HTML Cite"/>
    <w:uiPriority w:val="99"/>
    <w:unhideWhenUsed/>
    <w:rsid w:val="00DC097E"/>
    <w:rPr>
      <w:i/>
      <w:iCs/>
    </w:rPr>
  </w:style>
  <w:style w:type="character" w:customStyle="1" w:styleId="10">
    <w:name w:val="Заголовок 1 Знак"/>
    <w:link w:val="1"/>
    <w:rsid w:val="00EE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E18A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EE18A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E18A7"/>
  </w:style>
  <w:style w:type="paragraph" w:styleId="a7">
    <w:name w:val="header"/>
    <w:basedOn w:val="a"/>
    <w:rsid w:val="003955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53F"/>
  </w:style>
  <w:style w:type="character" w:styleId="a9">
    <w:name w:val="FollowedHyperlink"/>
    <w:basedOn w:val="a0"/>
    <w:rsid w:val="007549A4"/>
    <w:rPr>
      <w:color w:val="800080"/>
      <w:u w:val="single"/>
    </w:rPr>
  </w:style>
  <w:style w:type="paragraph" w:customStyle="1" w:styleId="aa">
    <w:name w:val=" Знак"/>
    <w:basedOn w:val="a"/>
    <w:rsid w:val="00A75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D69B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itle">
    <w:name w:val="title"/>
    <w:basedOn w:val="a0"/>
    <w:rsid w:val="009E71A9"/>
  </w:style>
  <w:style w:type="character" w:customStyle="1" w:styleId="data">
    <w:name w:val="data"/>
    <w:basedOn w:val="a0"/>
    <w:rsid w:val="000525FE"/>
  </w:style>
  <w:style w:type="paragraph" w:styleId="ab">
    <w:name w:val="Balloon Text"/>
    <w:basedOn w:val="a"/>
    <w:semiHidden/>
    <w:rsid w:val="001D78B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54B35"/>
  </w:style>
  <w:style w:type="paragraph" w:styleId="ac">
    <w:name w:val="footer"/>
    <w:basedOn w:val="a"/>
    <w:rsid w:val="001A65F3"/>
    <w:pPr>
      <w:tabs>
        <w:tab w:val="center" w:pos="4677"/>
        <w:tab w:val="right" w:pos="9355"/>
      </w:tabs>
    </w:pPr>
  </w:style>
  <w:style w:type="character" w:customStyle="1" w:styleId="f">
    <w:name w:val="f"/>
    <w:basedOn w:val="a0"/>
    <w:rsid w:val="00B77C9A"/>
  </w:style>
  <w:style w:type="paragraph" w:styleId="ad">
    <w:name w:val="List Paragraph"/>
    <w:basedOn w:val="a"/>
    <w:uiPriority w:val="34"/>
    <w:qFormat/>
    <w:rsid w:val="00497C1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586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7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1202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54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контролю и надзору в сфере саморегулируемых организаций</vt:lpstr>
    </vt:vector>
  </TitlesOfParts>
  <Company>MoBIL GROUP</Company>
  <LinksUpToDate>false</LinksUpToDate>
  <CharactersWithSpaces>2017</CharactersWithSpaces>
  <SharedDoc>false</SharedDoc>
  <HLinks>
    <vt:vector size="24" baseType="variant">
      <vt:variant>
        <vt:i4>1376363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https://www.instagram.com/rosreestr_nsk/?hl=ru</vt:lpwstr>
      </vt:variant>
      <vt:variant>
        <vt:lpwstr/>
      </vt:variant>
      <vt:variant>
        <vt:i4>1310840</vt:i4>
      </vt:variant>
      <vt:variant>
        <vt:i4>6</vt:i4>
      </vt:variant>
      <vt:variant>
        <vt:i4>0</vt:i4>
      </vt:variant>
      <vt:variant>
        <vt:i4>5</vt:i4>
      </vt:variant>
      <vt:variant>
        <vt:lpwstr>https://vk.com/rosreestr_nsk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https://rosreestr.ru/site/</vt:lpwstr>
      </vt:variant>
      <vt:variant>
        <vt:lpwstr/>
      </vt:variant>
      <vt:variant>
        <vt:i4>4653097</vt:i4>
      </vt:variant>
      <vt:variant>
        <vt:i4>0</vt:i4>
      </vt:variant>
      <vt:variant>
        <vt:i4>0</vt:i4>
      </vt:variant>
      <vt:variant>
        <vt:i4>5</vt:i4>
      </vt:variant>
      <vt:variant>
        <vt:lpwstr>mailto:oko@54upr.rosreestr.ru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контролю и надзору в сфере саморегулируемых организаций</dc:title>
  <dc:creator>user</dc:creator>
  <cp:lastModifiedBy>Пользователь Windows</cp:lastModifiedBy>
  <cp:revision>4</cp:revision>
  <cp:lastPrinted>2016-03-28T07:14:00Z</cp:lastPrinted>
  <dcterms:created xsi:type="dcterms:W3CDTF">2020-06-03T04:38:00Z</dcterms:created>
  <dcterms:modified xsi:type="dcterms:W3CDTF">2020-06-03T04:38:00Z</dcterms:modified>
</cp:coreProperties>
</file>